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3412A">
        <w:rPr>
          <w:b/>
          <w:sz w:val="20"/>
          <w:szCs w:val="20"/>
        </w:rPr>
        <w:t>ул. Карла Маркса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842"/>
      </w:tblGrid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41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3412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341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341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Ремонт деформационных швов кв. 24, 27, 171 – 32,5 п.</w:t>
            </w:r>
            <w:proofErr w:type="gramStart"/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29 250,00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Ремонт межпанельных швов кв. 27, 53 – 18 п.</w:t>
            </w:r>
            <w:proofErr w:type="gramStart"/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10 800,00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Ремонт кровли балкона кв. 47, 94/97, 126/122/118, 127, 158, 166/178, 169/177 – 7 шт.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59 500,00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Частичный ремонт кровли  (под. 1, 2, 3, 4, 7, 8)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123 626,75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Покраска цоколя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56 142,00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73 513,00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29" w:type="dxa"/>
          </w:tcPr>
          <w:p w:rsidR="0083412A" w:rsidRPr="0083412A" w:rsidRDefault="0083412A" w:rsidP="000B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83412A" w:rsidRPr="0083412A" w:rsidTr="0083412A">
        <w:tc>
          <w:tcPr>
            <w:tcW w:w="817" w:type="dxa"/>
          </w:tcPr>
          <w:p w:rsidR="0083412A" w:rsidRPr="0083412A" w:rsidRDefault="0083412A" w:rsidP="000B06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3412A" w:rsidRPr="0083412A" w:rsidRDefault="0083412A" w:rsidP="000B06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</w:tcPr>
          <w:p w:rsidR="0083412A" w:rsidRPr="0083412A" w:rsidRDefault="0083412A" w:rsidP="000B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2A">
              <w:rPr>
                <w:rFonts w:ascii="Times New Roman" w:hAnsi="Times New Roman" w:cs="Times New Roman"/>
                <w:sz w:val="18"/>
                <w:szCs w:val="18"/>
              </w:rPr>
              <w:t>360 351,75</w:t>
            </w:r>
            <w:bookmarkStart w:id="0" w:name="_GoBack"/>
            <w:bookmarkEnd w:id="0"/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303F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24284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3412A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4F3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64705"/>
    <w:rsid w:val="00B77D9F"/>
    <w:rsid w:val="00B91B3C"/>
    <w:rsid w:val="00BA79CC"/>
    <w:rsid w:val="00BC1A09"/>
    <w:rsid w:val="00BE11A6"/>
    <w:rsid w:val="00C046A8"/>
    <w:rsid w:val="00C15961"/>
    <w:rsid w:val="00C44500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12424"/>
    <w:rsid w:val="00F13105"/>
    <w:rsid w:val="00F20C78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27</cp:revision>
  <cp:lastPrinted>2018-04-18T07:50:00Z</cp:lastPrinted>
  <dcterms:created xsi:type="dcterms:W3CDTF">2017-03-31T06:58:00Z</dcterms:created>
  <dcterms:modified xsi:type="dcterms:W3CDTF">2018-04-23T23:40:00Z</dcterms:modified>
</cp:coreProperties>
</file>